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1B" w:rsidRDefault="0007601B" w:rsidP="0019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A01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Modulo Offerta Tecnica</w:t>
      </w:r>
    </w:p>
    <w:p w:rsidR="00A01766" w:rsidRDefault="00A01766" w:rsidP="0019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A01766" w:rsidRPr="00A01766" w:rsidRDefault="00A01766" w:rsidP="0019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La Busta “B – Offerta Tecnica” dovrà contenere un indice completo di quanto in essa contenuto, nonché, a pena di esclusione dalla gara, la Relazione Tecnica in originale, in lingua italiana, conforme al fac-simile di seguito riportato.</w:t>
      </w:r>
    </w:p>
    <w:p w:rsidR="00E04809" w:rsidRPr="00A01766" w:rsidRDefault="00E04809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 xml:space="preserve">La presenza nella documentazione contenuta nella “Busta B – Offerta Tecnica” di qualsivoglia indicazione (diretta o indiretta) di carattere economico relativo all’offerta costituisce causa di esclusione dalla gara. </w:t>
      </w:r>
    </w:p>
    <w:p w:rsidR="00E04809" w:rsidRPr="00A01766" w:rsidRDefault="00E04809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La Relazione Tecnica dovrà contenere una descrizione completa e dettagliata dei prodotti e servizi offerti che dovranno essere conformi ai requisiti indicati dal Capitolato Tecnico.</w:t>
      </w: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Si precisa che in caso di redazione in lingua diversa dall’italiano i surrichiamati documenti dovranno essere corredati da traduzione giurata.</w:t>
      </w: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La Relazione Tecnica dovrà essere firmata o siglata in ogni sua pagina e sottoscritta nell’ultima pagina, a pena di esclusione:</w:t>
      </w:r>
    </w:p>
    <w:p w:rsidR="00E04809" w:rsidRPr="00A01766" w:rsidRDefault="0007601B" w:rsidP="001901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nel caso di impresa singola, dal legale rappresentante/procuratore speciale dell’impresa;</w:t>
      </w:r>
    </w:p>
    <w:p w:rsidR="00E04809" w:rsidRPr="00A01766" w:rsidRDefault="0007601B" w:rsidP="001901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nel caso di R.T.I. costituito o di consorzio costituito (di qualsiasi natura) dal legale rappresentante/procuratore speciale dell’impresa mandataria o del Consorzio;</w:t>
      </w:r>
    </w:p>
    <w:p w:rsidR="0007601B" w:rsidRPr="00A01766" w:rsidRDefault="0007601B" w:rsidP="001901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nel caso di R.T.I. o di consorzio di concorrenti di cui all’art. 34, comma 1, lett.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e) del D. Lgs. n. 163/06 costituendi, dal legale rappresentante/procuratore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speciale di tutte le imprese raggruppande o consorziande.</w:t>
      </w:r>
    </w:p>
    <w:p w:rsidR="00E04809" w:rsidRPr="00A01766" w:rsidRDefault="00E04809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Oltre alla Relazione Tecnica in originale, dovrà essere prodotta una copia su formato elettronico non modificabile (p.es. in formato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“.pdf “).</w:t>
      </w:r>
      <w:r w:rsidR="00E01330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La copia della Relazione Tecnica prodotta su formato elettronico non modificabile non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necessita di essere firmata digitalmente.</w:t>
      </w:r>
    </w:p>
    <w:p w:rsidR="00E04809" w:rsidRPr="00A01766" w:rsidRDefault="00E04809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 caso di discordanza tra l’originale e l</w:t>
      </w:r>
      <w:r w:rsidR="002023E4" w:rsidRPr="00A01766">
        <w:rPr>
          <w:rFonts w:ascii="Times New Roman" w:hAnsi="Times New Roman" w:cs="Times New Roman"/>
        </w:rPr>
        <w:t>a copia</w:t>
      </w:r>
      <w:r w:rsidRPr="00A01766">
        <w:rPr>
          <w:rFonts w:ascii="Times New Roman" w:hAnsi="Times New Roman" w:cs="Times New Roman"/>
        </w:rPr>
        <w:t>, anche se prodotte su formato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elettronico, a prevalere sarà, in ogni caso, quanto riportato sull’originale.</w:t>
      </w: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4809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 particolare, la Relazione Tecnica dovrà necessariamente contenere:</w:t>
      </w: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INTERVENTI PER LA RIQUALIFICAZIONE ENERGETICA</w:t>
      </w:r>
    </w:p>
    <w:p w:rsidR="00E04809" w:rsidRPr="00A01766" w:rsidRDefault="0007601B" w:rsidP="001901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PROGETTO PER LA GESTIONE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DEL SERVIZIO</w:t>
      </w:r>
      <w:r w:rsidR="00E04809" w:rsidRPr="00A01766">
        <w:rPr>
          <w:rFonts w:ascii="Times New Roman" w:hAnsi="Times New Roman" w:cs="Times New Roman"/>
        </w:rPr>
        <w:t xml:space="preserve"> ENERGETICO</w:t>
      </w:r>
    </w:p>
    <w:p w:rsidR="0007601B" w:rsidRPr="00A01766" w:rsidRDefault="0007601B" w:rsidP="001901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ADEGUAMENTO NORMATIVO E TECNOLOGICO</w:t>
      </w: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4809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 xml:space="preserve">La suddetta Relazione Tecnica: </w:t>
      </w:r>
    </w:p>
    <w:p w:rsidR="00E04809" w:rsidRPr="00A01766" w:rsidRDefault="0007601B" w:rsidP="001901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lastRenderedPageBreak/>
        <w:t>dovrà essere presentata su fogli singoli di formato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DIN A4, non in bollo, con una numerazione progressiva ed univoca delle pagine e dovrà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essere fascicolata con rilegatura non rimovibile e redatta con una dimensione minima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del carattere di 1</w:t>
      </w:r>
      <w:r w:rsidR="00072C71" w:rsidRPr="00A01766">
        <w:rPr>
          <w:rFonts w:ascii="Times New Roman" w:hAnsi="Times New Roman" w:cs="Times New Roman"/>
        </w:rPr>
        <w:t>0</w:t>
      </w:r>
      <w:r w:rsidRPr="00A01766">
        <w:rPr>
          <w:rFonts w:ascii="Times New Roman" w:hAnsi="Times New Roman" w:cs="Times New Roman"/>
        </w:rPr>
        <w:t xml:space="preserve"> punti (si precisa che la dimen</w:t>
      </w:r>
      <w:r w:rsidR="00072C71" w:rsidRPr="00A01766">
        <w:rPr>
          <w:rFonts w:ascii="Times New Roman" w:hAnsi="Times New Roman" w:cs="Times New Roman"/>
        </w:rPr>
        <w:t>sione minima del carattere di 10</w:t>
      </w:r>
      <w:r w:rsidRPr="00A01766">
        <w:rPr>
          <w:rFonts w:ascii="Times New Roman" w:hAnsi="Times New Roman" w:cs="Times New Roman"/>
        </w:rPr>
        <w:t xml:space="preserve"> punti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non si applica per i caratteri contenuti nell’indice, nelle tabelle, in eventuali tabelle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inserite sotto forma di immagine, nelle immagini e nei grafici);</w:t>
      </w:r>
    </w:p>
    <w:p w:rsidR="00E04809" w:rsidRPr="00A01766" w:rsidRDefault="0007601B" w:rsidP="001901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dovrà essere</w:t>
      </w:r>
      <w:r w:rsidR="00E04809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 xml:space="preserve">contenuta entro le </w:t>
      </w:r>
      <w:r w:rsidR="00733448" w:rsidRPr="00A01766">
        <w:rPr>
          <w:rFonts w:ascii="Times New Roman" w:hAnsi="Times New Roman" w:cs="Times New Roman"/>
        </w:rPr>
        <w:t>300 (tre</w:t>
      </w:r>
      <w:r w:rsidRPr="00A01766">
        <w:rPr>
          <w:rFonts w:ascii="Times New Roman" w:hAnsi="Times New Roman" w:cs="Times New Roman"/>
        </w:rPr>
        <w:t xml:space="preserve">cento) pagine </w:t>
      </w:r>
    </w:p>
    <w:p w:rsidR="0007601B" w:rsidRPr="00A01766" w:rsidRDefault="0007601B" w:rsidP="001901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dovrà rispettare lo “Schema”</w:t>
      </w:r>
      <w:r w:rsidR="001901AC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di seguito riportato.</w:t>
      </w: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01330" w:rsidRPr="00A01766" w:rsidRDefault="00E01330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 xml:space="preserve">SCHEMA DI </w:t>
      </w:r>
      <w:r w:rsidR="00E01330">
        <w:rPr>
          <w:rFonts w:ascii="Times New Roman" w:hAnsi="Times New Roman" w:cs="Times New Roman"/>
        </w:rPr>
        <w:t>OFFERTA TECNICA</w:t>
      </w: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RELAZIONE TECNICA</w:t>
      </w:r>
      <w:r w:rsidR="00733448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PER L’</w:t>
      </w:r>
      <w:r w:rsidR="00733448" w:rsidRPr="00A01766">
        <w:rPr>
          <w:rFonts w:ascii="Times New Roman" w:hAnsi="Times New Roman" w:cs="Times New Roman"/>
        </w:rPr>
        <w:t>AFFIDAMENTO IN ACCORDO QUADRO DEI</w:t>
      </w:r>
      <w:r w:rsidRPr="00A01766">
        <w:rPr>
          <w:rFonts w:ascii="Times New Roman" w:hAnsi="Times New Roman" w:cs="Times New Roman"/>
        </w:rPr>
        <w:t xml:space="preserve"> SERVIZI</w:t>
      </w:r>
      <w:r w:rsidR="00733448" w:rsidRPr="00A01766">
        <w:rPr>
          <w:rFonts w:ascii="Times New Roman" w:hAnsi="Times New Roman" w:cs="Times New Roman"/>
        </w:rPr>
        <w:t xml:space="preserve"> ENERGETICI PER GLI ENTI PUBBLICI DELLA TOSCANA </w:t>
      </w:r>
      <w:r w:rsidRPr="00A01766">
        <w:rPr>
          <w:rFonts w:ascii="Times New Roman" w:hAnsi="Times New Roman" w:cs="Times New Roman"/>
        </w:rPr>
        <w:t>– Lotto</w:t>
      </w:r>
      <w:r w:rsidR="001901AC">
        <w:rPr>
          <w:rFonts w:ascii="Times New Roman" w:hAnsi="Times New Roman" w:cs="Times New Roman"/>
        </w:rPr>
        <w:t xml:space="preserve"> ….. </w:t>
      </w: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1. PRESENTAZIONE E DESCRIZIONE DELL'OFFERENTE (compresa, in caso di</w:t>
      </w:r>
      <w:r w:rsidR="00733448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RTI/Consorzi, la descrizione dell’organizzazione adottata per la distribuzione dei</w:t>
      </w:r>
      <w:r w:rsidR="00733448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servizi/attività tra le aziende partecipanti)</w:t>
      </w:r>
    </w:p>
    <w:p w:rsidR="00733448" w:rsidRPr="00A01766" w:rsidRDefault="00733448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2. OFFERTA TECNICA</w:t>
      </w: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601B" w:rsidP="001901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INDICE</w:t>
      </w:r>
    </w:p>
    <w:p w:rsidR="0007601B" w:rsidRPr="00A01766" w:rsidRDefault="0007601B" w:rsidP="001901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PREMESSA</w:t>
      </w:r>
    </w:p>
    <w:p w:rsidR="00DE0956" w:rsidRPr="00A01766" w:rsidRDefault="00DE0956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2C71" w:rsidRPr="00A01766" w:rsidRDefault="00072C71" w:rsidP="001901A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RIQUALIFICAZIONE ENERGETICA</w:t>
      </w:r>
    </w:p>
    <w:p w:rsidR="00202B0D" w:rsidRPr="00A01766" w:rsidRDefault="00202B0D" w:rsidP="001901AC">
      <w:pPr>
        <w:pStyle w:val="Paragrafoelenco"/>
        <w:autoSpaceDE w:val="0"/>
        <w:autoSpaceDN w:val="0"/>
        <w:adjustRightInd w:val="0"/>
        <w:spacing w:after="0" w:line="360" w:lineRule="auto"/>
        <w:ind w:left="767"/>
        <w:jc w:val="both"/>
        <w:rPr>
          <w:rFonts w:ascii="Times New Roman" w:hAnsi="Times New Roman" w:cs="Times New Roman"/>
        </w:rPr>
      </w:pPr>
    </w:p>
    <w:p w:rsidR="00202B0D" w:rsidRPr="00A01766" w:rsidRDefault="00072C71" w:rsidP="001901A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Impegno sugli obiettivi di risparmio energetico</w:t>
      </w:r>
    </w:p>
    <w:p w:rsidR="00202B0D" w:rsidRPr="001901AC" w:rsidRDefault="00072C71" w:rsidP="001901AC">
      <w:pPr>
        <w:pStyle w:val="Paragrafoelenco"/>
        <w:autoSpaceDE w:val="0"/>
        <w:autoSpaceDN w:val="0"/>
        <w:adjustRightInd w:val="0"/>
        <w:spacing w:after="0" w:line="360" w:lineRule="auto"/>
        <w:ind w:left="767"/>
        <w:jc w:val="both"/>
        <w:rPr>
          <w:rFonts w:ascii="Times New Roman" w:hAnsi="Times New Roman" w:cs="Times New Roman"/>
        </w:rPr>
      </w:pPr>
      <w:r w:rsidRPr="001901AC">
        <w:rPr>
          <w:rFonts w:ascii="Times New Roman" w:hAnsi="Times New Roman" w:cs="Times New Roman"/>
        </w:rPr>
        <w:t>Impegno - espresso in tonnellate equivalenti di petrolio (tep) nel Lotto di riferimento - ad effettuare interventi di riqualificazione energetica sugli impianti gestiti che consentano di conseguire un risparmio certificato dall’Autorità per l’Energia Elettrica e per il Gas.</w:t>
      </w:r>
      <w:r w:rsidR="001901AC">
        <w:rPr>
          <w:rFonts w:ascii="Times New Roman" w:hAnsi="Times New Roman" w:cs="Times New Roman"/>
        </w:rPr>
        <w:t xml:space="preserve"> </w:t>
      </w:r>
      <w:r w:rsidR="001901AC" w:rsidRPr="001901AC">
        <w:rPr>
          <w:rFonts w:ascii="Times New Roman" w:hAnsi="Times New Roman" w:cs="Times New Roman"/>
          <w:highlight w:val="yellow"/>
        </w:rPr>
        <w:t>Nell’</w:t>
      </w:r>
      <w:r w:rsidR="001901AC">
        <w:rPr>
          <w:rFonts w:ascii="Times New Roman" w:hAnsi="Times New Roman" w:cs="Times New Roman"/>
          <w:highlight w:val="yellow"/>
        </w:rPr>
        <w:t>impegno devono</w:t>
      </w:r>
      <w:r w:rsidR="001901AC" w:rsidRPr="001901AC">
        <w:rPr>
          <w:rFonts w:ascii="Times New Roman" w:hAnsi="Times New Roman" w:cs="Times New Roman"/>
          <w:highlight w:val="yellow"/>
        </w:rPr>
        <w:t xml:space="preserve"> essere </w:t>
      </w:r>
      <w:r w:rsidR="001901AC">
        <w:rPr>
          <w:rFonts w:ascii="Times New Roman" w:hAnsi="Times New Roman" w:cs="Times New Roman"/>
          <w:highlight w:val="yellow"/>
        </w:rPr>
        <w:t xml:space="preserve">indicati </w:t>
      </w:r>
      <w:r w:rsidR="001901AC" w:rsidRPr="001901AC">
        <w:rPr>
          <w:rFonts w:ascii="Times New Roman" w:hAnsi="Times New Roman" w:cs="Times New Roman"/>
          <w:highlight w:val="yellow"/>
        </w:rPr>
        <w:t xml:space="preserve">anche gli strumenti finanziari di cui dispone l’operatore economico </w:t>
      </w:r>
      <w:r w:rsidR="001901AC">
        <w:rPr>
          <w:rFonts w:ascii="Times New Roman" w:hAnsi="Times New Roman" w:cs="Times New Roman"/>
          <w:highlight w:val="yellow"/>
        </w:rPr>
        <w:t xml:space="preserve">(Fondi di Rotazione, Fondi di Garanzia, autofinanziamento, ecc) </w:t>
      </w:r>
      <w:r w:rsidR="001901AC" w:rsidRPr="001901AC">
        <w:rPr>
          <w:rFonts w:ascii="Times New Roman" w:hAnsi="Times New Roman" w:cs="Times New Roman"/>
          <w:highlight w:val="yellow"/>
        </w:rPr>
        <w:t>per l’effettuazione degli interventi mediante Finanziamento Tramite Terzi.</w:t>
      </w:r>
    </w:p>
    <w:p w:rsidR="00202B0D" w:rsidRPr="00A01766" w:rsidRDefault="00072C71" w:rsidP="001901A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Piano per il conseguimento degli impegni di risparmio energetico dichiarati per il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lotto di riferimento</w:t>
      </w:r>
    </w:p>
    <w:p w:rsidR="006C089C" w:rsidRPr="00A01766" w:rsidRDefault="00072C71" w:rsidP="001901AC">
      <w:pPr>
        <w:pStyle w:val="Paragrafoelenco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Interventi per il conseguimento degli obiettivi di risparmio energetico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dichiarati.</w:t>
      </w:r>
    </w:p>
    <w:p w:rsidR="00072C71" w:rsidRPr="00A01766" w:rsidRDefault="00072C71" w:rsidP="001901AC">
      <w:pPr>
        <w:pStyle w:val="Paragrafoelenco"/>
        <w:autoSpaceDE w:val="0"/>
        <w:autoSpaceDN w:val="0"/>
        <w:adjustRightInd w:val="0"/>
        <w:spacing w:after="0" w:line="360" w:lineRule="auto"/>
        <w:ind w:left="220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Descrizione ed identificazione delle tipologie di intervento proponibili per il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raggiungimento degli obiettivi di risparmio energetico dichiarati per il lotto di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riferimento (descrizione per ciascun intervento proponibile anche delle principali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caratteristiche tecniche e dei risparmi conseguibili in tep).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A partire dalla previsione delle possibili situazioni che si possano riscontrare nel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 xml:space="preserve">lotto, l’Offerente deve associare ad ogni </w:t>
      </w:r>
      <w:r w:rsidR="00E01330">
        <w:rPr>
          <w:rFonts w:ascii="Times New Roman" w:hAnsi="Times New Roman" w:cs="Times New Roman"/>
        </w:rPr>
        <w:t xml:space="preserve">possibile </w:t>
      </w:r>
      <w:r w:rsidRPr="00A01766">
        <w:rPr>
          <w:rFonts w:ascii="Times New Roman" w:hAnsi="Times New Roman" w:cs="Times New Roman"/>
        </w:rPr>
        <w:t>scenario l’intervento o gli interventi che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intende proporre all’Amministrazione, al fine di ottimizzare l’efficienza degli impianti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(la proposta può essere presentata in forma tabellare mediante l’associazione tra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situazione attesa/riscontrata nel lotto e intervento proposto dall’Offerente.</w:t>
      </w:r>
    </w:p>
    <w:p w:rsidR="006C089C" w:rsidRPr="00A01766" w:rsidRDefault="00072C71" w:rsidP="001901AC">
      <w:pPr>
        <w:pStyle w:val="Paragrafoelenco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Criteri di progettazione della proposta degli interventi</w:t>
      </w:r>
    </w:p>
    <w:p w:rsidR="00072C71" w:rsidRPr="00A01766" w:rsidRDefault="00072C71" w:rsidP="001901AC">
      <w:pPr>
        <w:pStyle w:val="Paragrafoelenco"/>
        <w:autoSpaceDE w:val="0"/>
        <w:autoSpaceDN w:val="0"/>
        <w:adjustRightInd w:val="0"/>
        <w:spacing w:after="0" w:line="360" w:lineRule="auto"/>
        <w:ind w:left="220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lastRenderedPageBreak/>
        <w:t>Descrizione dei razionali che hanno portato alla determinazione dell’impegno,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misurato in tep, da conseguire nel Lotto in oggetto, relativamente alle tipologie di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interventi individuate e dei possibili scenari previsti.</w:t>
      </w:r>
    </w:p>
    <w:p w:rsidR="00072C71" w:rsidRPr="00A01766" w:rsidRDefault="00072C71" w:rsidP="001901AC">
      <w:pPr>
        <w:pStyle w:val="Paragrafoelenco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Modalità di proposizione degli interventi all’Amministrazione, ai fini di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un’adeguata comprensione degli interventi proposti e di un corretto supporto alle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scelte (ad es. presentazione dei risultati attesi e dei relativi indicatori economico –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finanziari, presentazione della proposta tecnica degli interventi, etc.).</w:t>
      </w:r>
    </w:p>
    <w:p w:rsidR="00072C71" w:rsidRPr="00A01766" w:rsidRDefault="00072C71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E0956" w:rsidRPr="00A01766" w:rsidRDefault="00DE0956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 xml:space="preserve">PROGETTO PER LA GESTIONE DEL SERVIZIO </w:t>
      </w:r>
      <w:r w:rsidR="00072C71" w:rsidRPr="00A01766">
        <w:rPr>
          <w:rFonts w:ascii="Times New Roman" w:hAnsi="Times New Roman" w:cs="Times New Roman"/>
        </w:rPr>
        <w:t>ENERGETICO</w:t>
      </w:r>
    </w:p>
    <w:p w:rsidR="00202B0D" w:rsidRPr="00A01766" w:rsidRDefault="0007601B" w:rsidP="001901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Struttura organizzativa dedicata proposta per l'erogazione dei servizi oggetto di</w:t>
      </w:r>
      <w:r w:rsidR="00733448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gara</w:t>
      </w:r>
    </w:p>
    <w:p w:rsidR="00202B0D" w:rsidRPr="00A01766" w:rsidRDefault="0007601B" w:rsidP="001901AC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Organigramma funzionale delle divisioni organizzative dedicate</w:t>
      </w:r>
      <w:r w:rsidR="00733448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all'erogazione del servizio.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Modalità di interfacciamento tra le diverse funzioni interne. Modalità di interazione tra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l’offerente e gli operatori locali/regionali/nazionali/subappaltatori coinvolti nella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filiera per l’erogazione del servizio nel lotto di riferimento.</w:t>
      </w:r>
    </w:p>
    <w:p w:rsidR="00202B0D" w:rsidRPr="00A01766" w:rsidRDefault="0007601B" w:rsidP="001901AC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Qualifica e numero di risorse impiegate sui servizi oggetto di gara, per il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lotto di riferimento, anche in relazione alla specifica fase temporale/esecutiva della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Convenzione.</w:t>
      </w:r>
    </w:p>
    <w:p w:rsidR="0007601B" w:rsidRPr="00A01766" w:rsidRDefault="0007601B" w:rsidP="001901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Struttura logistica dedicata proposta per l'erogazione dei servizi oggetto di gara</w:t>
      </w:r>
    </w:p>
    <w:p w:rsidR="0007601B" w:rsidRPr="00A01766" w:rsidRDefault="0007601B" w:rsidP="001901AC">
      <w:pPr>
        <w:pStyle w:val="Paragrafoelenco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701" w:hanging="141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 xml:space="preserve"> Infrastrutture logistiche/ attrezzature che l’Offerente intende utilizzare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e/o predisporre in relazione all'erogazione del servizio sul lotto di riferimento: tipo di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sedi (operative, logistiche, di rappresentanza, etc.), attrezzature (veicoli con cestello,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veicoli con scale industriali, etc.). Modalità di copertura territoriale prevista per il lotto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di riferimento (compresa la rete di approvvigionamento materiali, l’eventuale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dislocazione di nuove sedi, presidi, magazzini o altro), anche in relazione al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coinvolgimento di eventuali operatori della filiera e subappaltatori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locali/regionali/nazionali.</w:t>
      </w:r>
    </w:p>
    <w:p w:rsidR="00202B0D" w:rsidRPr="00A01766" w:rsidRDefault="0007601B" w:rsidP="001901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Sostenibilità ambientale dei Servizi</w:t>
      </w:r>
    </w:p>
    <w:p w:rsidR="00202B0D" w:rsidRPr="00A01766" w:rsidRDefault="0007601B" w:rsidP="001901A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Sostenibilità ambientale nella esecuzione dei Servizi intesa come, a titolo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esemplificativo e non necessariamente esaustivo:</w:t>
      </w:r>
    </w:p>
    <w:p w:rsidR="00202B0D" w:rsidRPr="00A01766" w:rsidRDefault="0007601B" w:rsidP="001901A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soluzioni tecniche/tecnologiche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individuate con attenzione alla riduzione dell’emissione di CO2 (mezzi/attrezzature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green, ecc.)</w:t>
      </w:r>
    </w:p>
    <w:p w:rsidR="00202B0D" w:rsidRPr="00A01766" w:rsidRDefault="0007601B" w:rsidP="001901A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eventuali certificazioni ambientali di processo possedute (es. ISO 14001, EMAS)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o di misure equivalenti per la gestione ambientale;</w:t>
      </w:r>
    </w:p>
    <w:p w:rsidR="0007601B" w:rsidRPr="00A01766" w:rsidRDefault="0007601B" w:rsidP="001901A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processi e modalità di gestione del ciclo di vita dei materiali/ componenti/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rifiuti, anche in relazione ad eventuali rapporti accordi con consorzi di smaltimento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locali, utilizzati a partire dalla fase di approvvigionamento e fino allo smaltimento degli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stessi.</w:t>
      </w:r>
    </w:p>
    <w:p w:rsidR="0007601B" w:rsidRPr="00A01766" w:rsidRDefault="0007601B" w:rsidP="001901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Sistema informativo gestionale</w:t>
      </w:r>
    </w:p>
    <w:p w:rsidR="00C81698" w:rsidRPr="00A01766" w:rsidRDefault="0007601B" w:rsidP="001901AC">
      <w:pPr>
        <w:pStyle w:val="Paragrafoelenco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Funzionalità del sistema</w:t>
      </w:r>
    </w:p>
    <w:p w:rsidR="00C81698" w:rsidRPr="00A01766" w:rsidRDefault="0007601B" w:rsidP="001901AC">
      <w:pPr>
        <w:pStyle w:val="Paragrafoelenco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lastRenderedPageBreak/>
        <w:t>Gestione dei dati tecnici relativi agli impianti gestiti, e ai consumi di energia elettrica</w:t>
      </w:r>
      <w:r w:rsidR="00E01330">
        <w:rPr>
          <w:rFonts w:ascii="Times New Roman" w:hAnsi="Times New Roman" w:cs="Times New Roman"/>
        </w:rPr>
        <w:t xml:space="preserve"> e termica</w:t>
      </w:r>
      <w:bookmarkStart w:id="0" w:name="_GoBack"/>
      <w:bookmarkEnd w:id="0"/>
      <w:r w:rsidRPr="00A01766">
        <w:rPr>
          <w:rFonts w:ascii="Times New Roman" w:hAnsi="Times New Roman" w:cs="Times New Roman"/>
        </w:rPr>
        <w:t>, ai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risparmi energetici ottenibili ed ottenuti grazie agli interventi di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efficientamento energetico effettuati; i dati devono essere gestiti per singola Amministrazione.</w:t>
      </w:r>
    </w:p>
    <w:p w:rsidR="00C81698" w:rsidRPr="00A01766" w:rsidRDefault="0007601B" w:rsidP="001901AC">
      <w:pPr>
        <w:pStyle w:val="Paragrafoelenco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Gestione dei processi di adesione alla Convenzione da parte delle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PPAA e dei processi operativi relativi alla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erogazione dei servizi in Convenzione (ad esempio: programmazione ed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esecuzione degli interventi, gestione delle richieste e delle segnalazioni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 xml:space="preserve">da parte dei </w:t>
      </w:r>
      <w:r w:rsidR="002023E4" w:rsidRPr="00A01766">
        <w:rPr>
          <w:rFonts w:ascii="Times New Roman" w:hAnsi="Times New Roman" w:cs="Times New Roman"/>
        </w:rPr>
        <w:t xml:space="preserve">fruitori del servizio e </w:t>
      </w:r>
      <w:r w:rsidRPr="00A01766">
        <w:rPr>
          <w:rFonts w:ascii="Times New Roman" w:hAnsi="Times New Roman" w:cs="Times New Roman"/>
        </w:rPr>
        <w:t>gestione della preventivazione e consuntivazione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per gli interventi extra Canone, etc.).</w:t>
      </w:r>
    </w:p>
    <w:p w:rsidR="00C81698" w:rsidRPr="00A01766" w:rsidRDefault="0007601B" w:rsidP="001901AC">
      <w:pPr>
        <w:pStyle w:val="Paragrafoelenco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Architetture hardware e software del sistema proposto anche in funzione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di aspetti di ridondanza, sicurezza ed integrità dei dati ivi contenuti e gestiti.</w:t>
      </w:r>
    </w:p>
    <w:p w:rsidR="0007601B" w:rsidRPr="00A01766" w:rsidRDefault="0007601B" w:rsidP="001901AC">
      <w:pPr>
        <w:pStyle w:val="Paragrafoelenco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Modalità di accesso al sistema informativo da parte delle singole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Amministrazioni Contraenti (in riferimento ai dati tecnici/energetici/economici degli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impianti di proprietà) e da parte di C</w:t>
      </w:r>
      <w:r w:rsidR="002B4108" w:rsidRPr="00A01766">
        <w:rPr>
          <w:rFonts w:ascii="Times New Roman" w:hAnsi="Times New Roman" w:cs="Times New Roman"/>
        </w:rPr>
        <w:t>ET</w:t>
      </w:r>
      <w:r w:rsidRPr="00A01766">
        <w:rPr>
          <w:rFonts w:ascii="Times New Roman" w:hAnsi="Times New Roman" w:cs="Times New Roman"/>
        </w:rPr>
        <w:t xml:space="preserve"> (in riferimento ai dati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tecnici/energetici/economici puntuali per Amministrazione ed aggregati per lotto).</w:t>
      </w:r>
    </w:p>
    <w:p w:rsidR="0007601B" w:rsidRPr="00A01766" w:rsidRDefault="0007601B" w:rsidP="001901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Costituzione e gestione dell’anagrafica tecnica</w:t>
      </w:r>
    </w:p>
    <w:p w:rsidR="00C81698" w:rsidRPr="00A01766" w:rsidRDefault="0007601B" w:rsidP="001901AC">
      <w:pPr>
        <w:pStyle w:val="Paragrafoelenco"/>
        <w:numPr>
          <w:ilvl w:val="4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Logiche di progettazione dell’Anagrafica Tecnica (saranno valutate le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logiche e le modalità adottate per definire il modello dati da implementare per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soddisfare le diverse esigenze di conoscenza e gestione degli impianti, anche in</w:t>
      </w:r>
      <w:r w:rsidR="00202B0D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relazione alla disponibilità di dati relativi a precedenti gestioni).</w:t>
      </w:r>
    </w:p>
    <w:p w:rsidR="00C81698" w:rsidRPr="00A01766" w:rsidRDefault="0007601B" w:rsidP="001901AC">
      <w:pPr>
        <w:pStyle w:val="Paragrafoelenco"/>
        <w:numPr>
          <w:ilvl w:val="4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Modalità di acquisizione, rilievo, censimento e popolamento dati (saranno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valutate le modalità di esecuzione delle attività di acquisizione dati, rilievo e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censimento degli elementi tecnici, popolamento dei dati grafici e alfanumerici sul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Sistema Informativo).</w:t>
      </w:r>
    </w:p>
    <w:p w:rsidR="0007601B" w:rsidRPr="00A01766" w:rsidRDefault="0007601B" w:rsidP="001901AC">
      <w:pPr>
        <w:pStyle w:val="Paragrafoelenco"/>
        <w:numPr>
          <w:ilvl w:val="4"/>
          <w:numId w:val="8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Modalità di aggiornamento dell’Anagrafica Tecnica (sarà valutata la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modalità prevista per l’aggiornamento continuo dei dati anagrafici sul Sistema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Informativo e la modalità di comunicazione alle Amministrazioni Contraente degli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aggiornamenti effettuati).</w:t>
      </w:r>
    </w:p>
    <w:p w:rsidR="00DE0956" w:rsidRPr="00A01766" w:rsidRDefault="00DE0956" w:rsidP="001901AC">
      <w:pPr>
        <w:spacing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ADEGUAMENTO NORMATIVO E TECNOLOGICO</w:t>
      </w:r>
    </w:p>
    <w:p w:rsidR="0007601B" w:rsidRPr="00A01766" w:rsidRDefault="0007601B" w:rsidP="001901A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Interventi di adeguamento normativo</w:t>
      </w:r>
    </w:p>
    <w:p w:rsidR="00914211" w:rsidRPr="00A01766" w:rsidRDefault="0007601B" w:rsidP="001901A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Interventi di messa a norma proposti dall’Offerente</w:t>
      </w:r>
    </w:p>
    <w:p w:rsidR="00D02885" w:rsidRPr="00A01766" w:rsidRDefault="0007601B" w:rsidP="001901AC">
      <w:pPr>
        <w:pStyle w:val="Paragrafoelenco"/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Descrizione tecnica delle soluzioni proposte in relazione alle diverse tipologie di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non conformità alla normativa che possono essere riscontrate</w:t>
      </w:r>
      <w:r w:rsidR="00D02885" w:rsidRPr="00A01766">
        <w:rPr>
          <w:rFonts w:ascii="Times New Roman" w:hAnsi="Times New Roman" w:cs="Times New Roman"/>
        </w:rPr>
        <w:t>.</w:t>
      </w:r>
    </w:p>
    <w:p w:rsidR="0007601B" w:rsidRPr="00A01766" w:rsidRDefault="0007601B" w:rsidP="001901AC">
      <w:pPr>
        <w:pStyle w:val="Paragrafoelenco"/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A partire dalla previsione delle possibili situazioni che si possano riscontrare nel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lotto, l’Offerente deve associare ad ogni scenario l’intervento o gli interventi che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intende proporre all’Amministrazione, al fine di risolvere le criticità riscontrate (la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lastRenderedPageBreak/>
        <w:t>proposta può essere presentata in forma tabellare mediante l’associazione tra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situazione riscontrata nel lotto e intervento proposto dall’Offerente).</w:t>
      </w:r>
    </w:p>
    <w:p w:rsidR="0007601B" w:rsidRPr="00A01766" w:rsidRDefault="0007601B" w:rsidP="001901A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Criteri utilizzati per la definizione del livello di adeguamento a norma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degli impianti e delle relative soluzioni tecniche</w:t>
      </w:r>
      <w:r w:rsidR="00D02885" w:rsidRPr="00A01766">
        <w:rPr>
          <w:rFonts w:ascii="Times New Roman" w:hAnsi="Times New Roman" w:cs="Times New Roman"/>
        </w:rPr>
        <w:t>.</w:t>
      </w:r>
    </w:p>
    <w:p w:rsidR="0007601B" w:rsidRPr="00A01766" w:rsidRDefault="0007601B" w:rsidP="001901A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Interventi di adeguamento e innovazione tecnologica</w:t>
      </w:r>
    </w:p>
    <w:p w:rsidR="00914211" w:rsidRPr="00A01766" w:rsidRDefault="0007601B" w:rsidP="001901A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Interventi di adeguamento e innovazione tecnologica proposti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dall’Offerente</w:t>
      </w:r>
    </w:p>
    <w:p w:rsidR="00914211" w:rsidRPr="00A01766" w:rsidRDefault="0007601B" w:rsidP="001901AC">
      <w:pPr>
        <w:pStyle w:val="Paragrafoelenco"/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Descrizione tecnica delle possibili soluzioni per l'adeguamento tecnologico e per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l'erogazione di servizi ottenibili attraverso l'utilizzo dell'infrastruttura</w:t>
      </w:r>
      <w:r w:rsidR="00D02885" w:rsidRPr="00A01766">
        <w:rPr>
          <w:rFonts w:ascii="Times New Roman" w:hAnsi="Times New Roman" w:cs="Times New Roman"/>
        </w:rPr>
        <w:t xml:space="preserve"> esistente (servizi smart)</w:t>
      </w:r>
      <w:r w:rsidRPr="00A01766">
        <w:rPr>
          <w:rFonts w:ascii="Times New Roman" w:hAnsi="Times New Roman" w:cs="Times New Roman"/>
        </w:rPr>
        <w:t>.</w:t>
      </w:r>
    </w:p>
    <w:p w:rsidR="0007601B" w:rsidRPr="00A01766" w:rsidRDefault="0007601B" w:rsidP="001901AC">
      <w:pPr>
        <w:pStyle w:val="Paragrafoelenco"/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A partire dalla previsione delle possibili situazioni che si possano riscontrare nel</w:t>
      </w:r>
      <w:r w:rsidR="00A6743A" w:rsidRPr="00A01766">
        <w:rPr>
          <w:rFonts w:ascii="Times New Roman" w:hAnsi="Times New Roman" w:cs="Times New Roman"/>
        </w:rPr>
        <w:t xml:space="preserve"> l</w:t>
      </w:r>
      <w:r w:rsidRPr="00A01766">
        <w:rPr>
          <w:rFonts w:ascii="Times New Roman" w:hAnsi="Times New Roman" w:cs="Times New Roman"/>
        </w:rPr>
        <w:t>otto, l’Offerente deve associare ad ogni scenario l’intervento o gli interventi che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intende proporre all’Amministrazione, al fine di ottimizzare le prestazioni e/o la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gestione degli impianti (la proposta può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essere presentata in forma tabellare mediante l’associazione tra situazione riscontrata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nel lotto e intervento proposto dall’Offerente).</w:t>
      </w:r>
    </w:p>
    <w:p w:rsidR="0007601B" w:rsidRPr="00A01766" w:rsidRDefault="0007601B" w:rsidP="001901AC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2127" w:hanging="993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Modalità di individuazione delle esigenze e delle opportunità di</w:t>
      </w:r>
      <w:r w:rsidR="00A6743A" w:rsidRPr="00A01766">
        <w:rPr>
          <w:rFonts w:ascii="Times New Roman" w:hAnsi="Times New Roman" w:cs="Times New Roman"/>
        </w:rPr>
        <w:t xml:space="preserve"> </w:t>
      </w:r>
      <w:r w:rsidR="00A5519D" w:rsidRPr="00A01766">
        <w:rPr>
          <w:rFonts w:ascii="Times New Roman" w:hAnsi="Times New Roman" w:cs="Times New Roman"/>
        </w:rPr>
        <w:t xml:space="preserve">adeguamento tecnologico o </w:t>
      </w:r>
      <w:r w:rsidR="00D02885" w:rsidRPr="00A01766">
        <w:rPr>
          <w:rFonts w:ascii="Times New Roman" w:hAnsi="Times New Roman" w:cs="Times New Roman"/>
        </w:rPr>
        <w:t xml:space="preserve">di </w:t>
      </w:r>
      <w:r w:rsidRPr="00A01766">
        <w:rPr>
          <w:rFonts w:ascii="Times New Roman" w:hAnsi="Times New Roman" w:cs="Times New Roman"/>
        </w:rPr>
        <w:t>innovazione verso servizi smart relativamente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agli impianti gestiti.</w:t>
      </w:r>
    </w:p>
    <w:p w:rsidR="00DE0956" w:rsidRPr="00A01766" w:rsidRDefault="00DE0956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E0956" w:rsidRPr="00A01766" w:rsidRDefault="00DE0956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3. DOCUMENTAZIONE COPERTA DA RISERVATEZZA</w:t>
      </w:r>
    </w:p>
    <w:p w:rsidR="0007601B" w:rsidRPr="00A01766" w:rsidRDefault="0007601B" w:rsidP="00190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1766">
        <w:rPr>
          <w:rFonts w:ascii="Times New Roman" w:hAnsi="Times New Roman" w:cs="Times New Roman"/>
        </w:rPr>
        <w:t>Nel presente paragrafo il concorrente è tenuto ad indicare analiticamente le parti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della documentazione presentata che ritiene coperte da riservatezza, con</w:t>
      </w:r>
      <w:r w:rsidR="00A6743A" w:rsidRPr="00A01766">
        <w:rPr>
          <w:rFonts w:ascii="Times New Roman" w:hAnsi="Times New Roman" w:cs="Times New Roman"/>
        </w:rPr>
        <w:t xml:space="preserve"> </w:t>
      </w:r>
      <w:r w:rsidRPr="00A01766">
        <w:rPr>
          <w:rFonts w:ascii="Times New Roman" w:hAnsi="Times New Roman" w:cs="Times New Roman"/>
        </w:rPr>
        <w:t>riferimento a marchi, know-how, brevetti ecc..</w:t>
      </w:r>
    </w:p>
    <w:p w:rsidR="0007601B" w:rsidRPr="00A01766" w:rsidRDefault="0007601B" w:rsidP="001901A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7601B" w:rsidRPr="00A01766" w:rsidSect="00765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F9" w:rsidRDefault="00D716F9" w:rsidP="00A01766">
      <w:pPr>
        <w:spacing w:after="0" w:line="240" w:lineRule="auto"/>
      </w:pPr>
      <w:r>
        <w:separator/>
      </w:r>
    </w:p>
  </w:endnote>
  <w:endnote w:type="continuationSeparator" w:id="0">
    <w:p w:rsidR="00D716F9" w:rsidRDefault="00D716F9" w:rsidP="00A0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F9" w:rsidRDefault="00D716F9" w:rsidP="00A01766">
      <w:pPr>
        <w:spacing w:after="0" w:line="240" w:lineRule="auto"/>
      </w:pPr>
      <w:r>
        <w:separator/>
      </w:r>
    </w:p>
  </w:footnote>
  <w:footnote w:type="continuationSeparator" w:id="0">
    <w:p w:rsidR="00D716F9" w:rsidRDefault="00D716F9" w:rsidP="00A0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643"/>
    <w:multiLevelType w:val="hybridMultilevel"/>
    <w:tmpl w:val="8F2ABC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259"/>
    <w:multiLevelType w:val="hybridMultilevel"/>
    <w:tmpl w:val="E8DE1938"/>
    <w:lvl w:ilvl="0" w:tplc="D53E6B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A0D"/>
    <w:multiLevelType w:val="hybridMultilevel"/>
    <w:tmpl w:val="7B84F854"/>
    <w:lvl w:ilvl="0" w:tplc="FCACF2A6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670A"/>
    <w:multiLevelType w:val="hybridMultilevel"/>
    <w:tmpl w:val="6AA26B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5283"/>
    <w:multiLevelType w:val="hybridMultilevel"/>
    <w:tmpl w:val="75444F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6539"/>
    <w:multiLevelType w:val="hybridMultilevel"/>
    <w:tmpl w:val="0F9E7224"/>
    <w:lvl w:ilvl="0" w:tplc="D53E6B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49E3"/>
    <w:multiLevelType w:val="hybridMultilevel"/>
    <w:tmpl w:val="443C2438"/>
    <w:lvl w:ilvl="0" w:tplc="1A685894">
      <w:start w:val="1"/>
      <w:numFmt w:val="decimal"/>
      <w:lvlText w:val="A.%1"/>
      <w:lvlJc w:val="left"/>
      <w:pPr>
        <w:ind w:left="767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87" w:hanging="360"/>
      </w:pPr>
    </w:lvl>
    <w:lvl w:ilvl="2" w:tplc="4AFAEEDE">
      <w:start w:val="1"/>
      <w:numFmt w:val="decimal"/>
      <w:lvlText w:val="A.2.%3"/>
      <w:lvlJc w:val="right"/>
      <w:pPr>
        <w:ind w:left="2207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4EDF1142"/>
    <w:multiLevelType w:val="hybridMultilevel"/>
    <w:tmpl w:val="9982BC2C"/>
    <w:lvl w:ilvl="0" w:tplc="D53E6B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129C5"/>
    <w:multiLevelType w:val="hybridMultilevel"/>
    <w:tmpl w:val="8F180D40"/>
    <w:lvl w:ilvl="0" w:tplc="6262A064">
      <w:start w:val="1"/>
      <w:numFmt w:val="decimal"/>
      <w:lvlText w:val="C.1.%1"/>
      <w:lvlJc w:val="left"/>
      <w:pPr>
        <w:ind w:left="720" w:hanging="360"/>
      </w:pPr>
      <w:rPr>
        <w:rFonts w:hint="default"/>
      </w:rPr>
    </w:lvl>
    <w:lvl w:ilvl="1" w:tplc="6B1C93B8">
      <w:start w:val="1"/>
      <w:numFmt w:val="decimal"/>
      <w:lvlText w:val="C.2.%2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475E"/>
    <w:multiLevelType w:val="hybridMultilevel"/>
    <w:tmpl w:val="2FCE7C24"/>
    <w:lvl w:ilvl="0" w:tplc="1A685894">
      <w:start w:val="1"/>
      <w:numFmt w:val="decimal"/>
      <w:lvlText w:val="A.%1"/>
      <w:lvlJc w:val="left"/>
      <w:pPr>
        <w:ind w:left="767" w:hanging="360"/>
      </w:pPr>
      <w:rPr>
        <w:rFonts w:cs="Times New Roman" w:hint="default"/>
        <w:b/>
      </w:rPr>
    </w:lvl>
    <w:lvl w:ilvl="1" w:tplc="58E47A1E">
      <w:start w:val="1"/>
      <w:numFmt w:val="decimal"/>
      <w:lvlText w:val="A.1.%2"/>
      <w:lvlJc w:val="right"/>
      <w:pPr>
        <w:ind w:left="1487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68775B13"/>
    <w:multiLevelType w:val="hybridMultilevel"/>
    <w:tmpl w:val="49B875A0"/>
    <w:lvl w:ilvl="0" w:tplc="B8E84636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F0EE7C52">
      <w:start w:val="1"/>
      <w:numFmt w:val="decimal"/>
      <w:lvlText w:val="B.1.%2"/>
      <w:lvlJc w:val="left"/>
      <w:pPr>
        <w:ind w:left="1440" w:hanging="360"/>
      </w:pPr>
      <w:rPr>
        <w:rFonts w:hint="default"/>
      </w:rPr>
    </w:lvl>
    <w:lvl w:ilvl="2" w:tplc="CDB2A6A8">
      <w:start w:val="1"/>
      <w:numFmt w:val="decimal"/>
      <w:lvlText w:val="B.2.%3."/>
      <w:lvlJc w:val="right"/>
      <w:pPr>
        <w:ind w:left="2160" w:hanging="180"/>
      </w:pPr>
      <w:rPr>
        <w:rFonts w:hint="default"/>
      </w:rPr>
    </w:lvl>
    <w:lvl w:ilvl="3" w:tplc="FFC24D94">
      <w:start w:val="1"/>
      <w:numFmt w:val="decimal"/>
      <w:lvlText w:val="B.4.%4."/>
      <w:lvlJc w:val="left"/>
      <w:pPr>
        <w:ind w:left="2880" w:hanging="360"/>
      </w:pPr>
      <w:rPr>
        <w:rFonts w:hint="default"/>
      </w:rPr>
    </w:lvl>
    <w:lvl w:ilvl="4" w:tplc="1A9E8170">
      <w:start w:val="1"/>
      <w:numFmt w:val="decimal"/>
      <w:lvlText w:val="B.5.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38DF"/>
    <w:multiLevelType w:val="hybridMultilevel"/>
    <w:tmpl w:val="1212A9D6"/>
    <w:lvl w:ilvl="0" w:tplc="D53E6B4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10D12"/>
    <w:multiLevelType w:val="hybridMultilevel"/>
    <w:tmpl w:val="167AC710"/>
    <w:lvl w:ilvl="0" w:tplc="1A685894">
      <w:start w:val="1"/>
      <w:numFmt w:val="decimal"/>
      <w:lvlText w:val="A.%1"/>
      <w:lvlJc w:val="left"/>
      <w:pPr>
        <w:ind w:left="767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87" w:hanging="360"/>
      </w:pPr>
    </w:lvl>
    <w:lvl w:ilvl="2" w:tplc="0410001B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01B"/>
    <w:rsid w:val="00035FD2"/>
    <w:rsid w:val="00072C71"/>
    <w:rsid w:val="0007601B"/>
    <w:rsid w:val="000D0568"/>
    <w:rsid w:val="00150FBF"/>
    <w:rsid w:val="00183976"/>
    <w:rsid w:val="001901AC"/>
    <w:rsid w:val="001E238C"/>
    <w:rsid w:val="002023E4"/>
    <w:rsid w:val="00202B0D"/>
    <w:rsid w:val="00295922"/>
    <w:rsid w:val="002B4108"/>
    <w:rsid w:val="003F6D27"/>
    <w:rsid w:val="00611F78"/>
    <w:rsid w:val="006C089C"/>
    <w:rsid w:val="00733448"/>
    <w:rsid w:val="0076520B"/>
    <w:rsid w:val="008378F2"/>
    <w:rsid w:val="008C3391"/>
    <w:rsid w:val="00914211"/>
    <w:rsid w:val="00A01766"/>
    <w:rsid w:val="00A24DDF"/>
    <w:rsid w:val="00A5519D"/>
    <w:rsid w:val="00A6743A"/>
    <w:rsid w:val="00C50172"/>
    <w:rsid w:val="00C81698"/>
    <w:rsid w:val="00D02885"/>
    <w:rsid w:val="00D27E88"/>
    <w:rsid w:val="00D716F9"/>
    <w:rsid w:val="00DE0956"/>
    <w:rsid w:val="00E01330"/>
    <w:rsid w:val="00E04809"/>
    <w:rsid w:val="00E45823"/>
    <w:rsid w:val="00E66C61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5B80A-13D7-4009-BE68-AF9CD87B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2E34-987F-426B-ACBD-3D1A385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 Malvezzi</cp:lastModifiedBy>
  <cp:revision>15</cp:revision>
  <dcterms:created xsi:type="dcterms:W3CDTF">2014-02-20T11:34:00Z</dcterms:created>
  <dcterms:modified xsi:type="dcterms:W3CDTF">2014-06-25T13:38:00Z</dcterms:modified>
</cp:coreProperties>
</file>