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F5" w:rsidRDefault="00D01CF5" w:rsidP="00D01CF5">
      <w:pPr>
        <w:pStyle w:val="Paragrafoelenco"/>
        <w:numPr>
          <w:ilvl w:val="0"/>
          <w:numId w:val="1"/>
        </w:numPr>
        <w:jc w:val="both"/>
      </w:pPr>
      <w:r>
        <w:t xml:space="preserve">Nel caso di Raggruppamento temporaneo di concorrenti già costituiti, per i quali sussiste comunque l’obbligo di produrre l’atto costitutivo, il documento </w:t>
      </w:r>
      <w:r w:rsidRPr="00D01CF5">
        <w:t>allegato</w:t>
      </w:r>
      <w:r>
        <w:t xml:space="preserve"> “</w:t>
      </w:r>
      <w:r w:rsidRPr="00D01CF5">
        <w:rPr>
          <w:i/>
        </w:rPr>
        <w:t>A1 – Dichiarazione per l’ammissione all’appalto specifico</w:t>
      </w:r>
      <w:r>
        <w:t>” può essere sottoscritto dal solo soggetto indicato quale mandatario e indicando i componenti della RTI.</w:t>
      </w:r>
    </w:p>
    <w:p w:rsidR="00F25AAF" w:rsidRDefault="00F25AAF" w:rsidP="00086560">
      <w:pPr>
        <w:pStyle w:val="Paragrafoelenco"/>
        <w:numPr>
          <w:ilvl w:val="0"/>
          <w:numId w:val="1"/>
        </w:numPr>
        <w:jc w:val="both"/>
      </w:pPr>
      <w:r>
        <w:t>Confermiamo che l’importo stimato del Servizio Energetico non ha correlazione con la colonna denominata “consumo medio annuo assunto nell’analisi” presente di cui al file Excel “Elaborazione Dati”. La colonna suddetta non apporta nessun contributo nella procedura in oggetto pertanto non deve essere considerata. Purtroppo la colonna è stata inserita per mero errore materiale.</w:t>
      </w:r>
    </w:p>
    <w:p w:rsidR="00F25AAF" w:rsidRDefault="00F25AAF" w:rsidP="00086560">
      <w:pPr>
        <w:pStyle w:val="Paragrafoelenco"/>
        <w:numPr>
          <w:ilvl w:val="0"/>
          <w:numId w:val="1"/>
        </w:numPr>
        <w:jc w:val="both"/>
      </w:pPr>
      <w:r>
        <w:t xml:space="preserve">L’importo del servizio </w:t>
      </w:r>
      <w:r w:rsidR="0056624D">
        <w:t xml:space="preserve">energetico </w:t>
      </w:r>
      <w:r>
        <w:t>si riferisce alla simulazione di fattibilità effettuata dal consorzio per verificare la fattibilità dell’intervento richiesto secondo i dettami previsti dall’accordo quadro. Il dettaglio delle formule applicate sono riportate al punto 14 DEL CAPITOLATO PRESTAZIONALE e nella LEGENDA_C</w:t>
      </w:r>
      <w:r w:rsidR="00086560">
        <w:t>.2.1</w:t>
      </w:r>
      <w:r>
        <w:t xml:space="preserve"> DETTAGLIO OFFERTA ECONOMICA.</w:t>
      </w:r>
    </w:p>
    <w:p w:rsidR="00F25AAF" w:rsidRDefault="00F25AAF" w:rsidP="00086560">
      <w:pPr>
        <w:pStyle w:val="Paragrafoelenco"/>
        <w:numPr>
          <w:ilvl w:val="0"/>
          <w:numId w:val="1"/>
        </w:numPr>
        <w:jc w:val="both"/>
      </w:pPr>
      <w:r>
        <w:t xml:space="preserve">Viene </w:t>
      </w:r>
      <w:r w:rsidR="00661547">
        <w:t>pubblicato</w:t>
      </w:r>
      <w:r>
        <w:t xml:space="preserve"> il file </w:t>
      </w:r>
      <w:r w:rsidR="00661547">
        <w:t>“</w:t>
      </w:r>
      <w:r w:rsidR="00086560">
        <w:t>C.2</w:t>
      </w:r>
      <w:r>
        <w:t xml:space="preserve"> D</w:t>
      </w:r>
      <w:r w:rsidR="0075033C">
        <w:t>ETTAGLIO OFFERTA ECONOMICA_r</w:t>
      </w:r>
      <w:r w:rsidR="00661547">
        <w:t xml:space="preserve">2” che sostituisce e </w:t>
      </w:r>
      <w:r w:rsidR="00086560">
        <w:t>aggiorna il precedente file “C.2</w:t>
      </w:r>
      <w:r w:rsidR="00661547">
        <w:t xml:space="preserve"> DETTAGLIO OFFERTA ECONOMICA”.</w:t>
      </w:r>
    </w:p>
    <w:p w:rsidR="00086560" w:rsidRDefault="00086560" w:rsidP="00086560">
      <w:pPr>
        <w:pStyle w:val="Paragrafoelenco"/>
        <w:numPr>
          <w:ilvl w:val="0"/>
          <w:numId w:val="1"/>
        </w:numPr>
        <w:jc w:val="both"/>
      </w:pPr>
      <w:r w:rsidRPr="00086560">
        <w:t>Viene pubblicato il file “C.</w:t>
      </w:r>
      <w:r>
        <w:t>2 DETTAGLIO OFFERTA ECONOMICA_r3</w:t>
      </w:r>
      <w:r w:rsidRPr="00086560">
        <w:t xml:space="preserve">” che sostituisce e </w:t>
      </w:r>
      <w:r>
        <w:t>aggiorna il precedente file “C.2</w:t>
      </w:r>
      <w:r w:rsidRPr="00086560">
        <w:t xml:space="preserve"> DETTAGLIO OFFERTA ECONOMICA</w:t>
      </w:r>
      <w:r>
        <w:t>_r2</w:t>
      </w:r>
      <w:r w:rsidRPr="00086560">
        <w:t>”.</w:t>
      </w:r>
    </w:p>
    <w:p w:rsidR="002520A3" w:rsidRPr="00086560" w:rsidRDefault="002520A3" w:rsidP="002520A3">
      <w:pPr>
        <w:pStyle w:val="Paragrafoelenco"/>
        <w:numPr>
          <w:ilvl w:val="0"/>
          <w:numId w:val="1"/>
        </w:numPr>
        <w:jc w:val="both"/>
      </w:pPr>
      <w:r>
        <w:t xml:space="preserve">Tutti gli interventi di </w:t>
      </w:r>
      <w:proofErr w:type="spellStart"/>
      <w:r>
        <w:t>efficientamento</w:t>
      </w:r>
      <w:proofErr w:type="spellEnd"/>
      <w:r>
        <w:t xml:space="preserve"> energetico proposti dall’offerente dovranno essere effettuati nel pieno rispetto della normativa vigente (es: i punti luminosi dovranno essere tali da garantire i livelli illuminotecnici previsti dalla normativa secondo la classificazione stradale individuata dall’ente e riportata nel capitolato prestazionale; I quadri elettrici dovranno esse aggiornati/sostituiti al fine di garantire la protezione degli impianti con i nuovi apparati istallati).  Gli interventi minimi/obbligatori richiesti sono que</w:t>
      </w:r>
      <w:r>
        <w:t>lli individuati al punto 5 del Capitolato P</w:t>
      </w:r>
      <w:r>
        <w:t>restazionale e troveranno copertura nel canone di servizio energetico calcolato e aggiornato annualmente secondo le formule previste nell’accordo quadro. Nel servizio energetico, stimato complessivamente in € 1.667.150,50, ricadono anche gli interventi di manutenzione straordinaria e di adeguamento normativo che si rendessero necessari per tutta la durata del contratto sugli interventi/dispositivi realizzati/istallati dall’impresa. E’ obbligo dell’appaltatore garantire a proprie cure e spese, in tutti gli anni del servizio, il corretto funzionamento degli apparati installati e dei servizi realizzati.</w:t>
      </w:r>
      <w:r>
        <w:t xml:space="preserve"> </w:t>
      </w:r>
      <w:r>
        <w:t xml:space="preserve">L’Ente potrà richiedere all’impresa anche l’effettuazione di interventi di manutenzione straordinaria o di adeguamento normativo su impianti/apparati non oggetto del progetto di </w:t>
      </w:r>
      <w:proofErr w:type="spellStart"/>
      <w:r>
        <w:t>efficientamento</w:t>
      </w:r>
      <w:proofErr w:type="spellEnd"/>
      <w:r>
        <w:t xml:space="preserve"> energetico durante la durata di validità del contratto. In quel caso l’ente riconoscerà l’importo a piè di opera secondo i listini e gli sconti aggiudicati in sede di riapertura del confronto competitivo.</w:t>
      </w:r>
      <w:bookmarkStart w:id="0" w:name="_GoBack"/>
      <w:bookmarkEnd w:id="0"/>
    </w:p>
    <w:p w:rsidR="00086560" w:rsidRDefault="00086560" w:rsidP="00086560">
      <w:pPr>
        <w:pStyle w:val="Paragrafoelenco"/>
        <w:jc w:val="both"/>
      </w:pPr>
    </w:p>
    <w:p w:rsidR="007E030E" w:rsidRDefault="007E030E" w:rsidP="00D01CF5">
      <w:pPr>
        <w:ind w:left="360"/>
      </w:pPr>
    </w:p>
    <w:sectPr w:rsidR="007E0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2EF"/>
    <w:multiLevelType w:val="hybridMultilevel"/>
    <w:tmpl w:val="2EE67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8"/>
    <w:rsid w:val="00086560"/>
    <w:rsid w:val="002520A3"/>
    <w:rsid w:val="0056624D"/>
    <w:rsid w:val="00661547"/>
    <w:rsid w:val="006B00E8"/>
    <w:rsid w:val="0075033C"/>
    <w:rsid w:val="007E030E"/>
    <w:rsid w:val="00D01CF5"/>
    <w:rsid w:val="00F25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BE9C-38FA-48FC-BDC0-8F6C6AB6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Malvezzi</dc:creator>
  <cp:keywords/>
  <dc:description/>
  <cp:lastModifiedBy>Alessandro Malvezzi</cp:lastModifiedBy>
  <cp:revision>8</cp:revision>
  <dcterms:created xsi:type="dcterms:W3CDTF">2016-01-15T11:44:00Z</dcterms:created>
  <dcterms:modified xsi:type="dcterms:W3CDTF">2016-02-03T10:36:00Z</dcterms:modified>
</cp:coreProperties>
</file>